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704C3F6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825FE3" w:rsidRPr="002F62B2">
        <w:rPr>
          <w:rFonts w:eastAsia="Times New Roman" w:cs="Arial"/>
          <w:b/>
          <w:color w:val="2E74B5" w:themeColor="accent1" w:themeShade="BF"/>
          <w:sz w:val="28"/>
          <w:szCs w:val="28"/>
        </w:rPr>
        <w:t xml:space="preserve">Fleetwood Town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825FE3" w:rsidRPr="00D06620" w14:paraId="71AFFCED" w14:textId="77777777" w:rsidTr="00825FE3">
        <w:tc>
          <w:tcPr>
            <w:tcW w:w="9776" w:type="dxa"/>
          </w:tcPr>
          <w:p w14:paraId="26F0F326" w14:textId="77777777" w:rsidR="00825FE3" w:rsidRPr="00D06620" w:rsidRDefault="00825FE3"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825FE3" w:rsidRPr="00D06620" w14:paraId="103019AE" w14:textId="77777777" w:rsidTr="00825FE3">
        <w:tc>
          <w:tcPr>
            <w:tcW w:w="9776" w:type="dxa"/>
          </w:tcPr>
          <w:p w14:paraId="078702AB" w14:textId="77777777" w:rsidR="00825FE3" w:rsidRPr="00D06620" w:rsidRDefault="00825FE3"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25FE3" w:rsidRPr="00D06620" w:rsidRDefault="00825FE3"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CDCAB35" w:rsidR="00825FE3" w:rsidRPr="00D06620" w:rsidRDefault="00825FE3"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Pr="00806F74">
              <w:rPr>
                <w:rFonts w:eastAsia="Times New Roman" w:cs="Arial"/>
                <w:b/>
                <w:color w:val="FF0000"/>
                <w:sz w:val="18"/>
                <w:szCs w:val="18"/>
              </w:rPr>
              <w:t xml:space="preserve"> </w:t>
            </w:r>
            <w:r w:rsidRPr="00D06620">
              <w:rPr>
                <w:rFonts w:eastAsia="Times New Roman" w:cs="Arial"/>
                <w:sz w:val="18"/>
                <w:szCs w:val="18"/>
              </w:rPr>
              <w:t>a)</w:t>
            </w:r>
            <w:r>
              <w:rPr>
                <w:rFonts w:eastAsia="Times New Roman" w:cs="Arial"/>
                <w:sz w:val="18"/>
                <w:szCs w:val="18"/>
              </w:rPr>
              <w:t xml:space="preserve"> </w:t>
            </w:r>
            <w:r w:rsidRPr="000500F8">
              <w:rPr>
                <w:rFonts w:eastAsia="Times New Roman" w:cs="Arial"/>
                <w:b/>
                <w:bCs/>
                <w:color w:val="2E74B5" w:themeColor="accent1" w:themeShade="BF"/>
                <w:sz w:val="18"/>
                <w:szCs w:val="18"/>
              </w:rPr>
              <w:t>16</w:t>
            </w:r>
            <w:r w:rsidRPr="000500F8">
              <w:rPr>
                <w:rFonts w:eastAsia="Times New Roman" w:cs="Arial"/>
                <w:b/>
                <w:bCs/>
                <w:color w:val="2E74B5" w:themeColor="accent1" w:themeShade="BF"/>
                <w:sz w:val="18"/>
                <w:szCs w:val="18"/>
                <w:vertAlign w:val="superscript"/>
              </w:rPr>
              <w:t>th</w:t>
            </w:r>
            <w:r w:rsidRPr="000500F8">
              <w:rPr>
                <w:rFonts w:eastAsia="Times New Roman" w:cs="Arial"/>
                <w:b/>
                <w:bCs/>
                <w:color w:val="2E74B5" w:themeColor="accent1" w:themeShade="BF"/>
                <w:sz w:val="18"/>
                <w:szCs w:val="18"/>
              </w:rPr>
              <w:t xml:space="preserve"> September 2024</w:t>
            </w:r>
          </w:p>
          <w:p w14:paraId="22091A18" w14:textId="77777777" w:rsidR="00825FE3" w:rsidRDefault="00825FE3"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0F9C8DB8" w:rsidR="00825FE3" w:rsidRPr="00D06620" w:rsidRDefault="00825FE3"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24,</w:t>
            </w:r>
            <w:r w:rsidRPr="00D06620">
              <w:rPr>
                <w:rFonts w:eastAsia="Times New Roman" w:cs="Arial"/>
                <w:b/>
                <w:sz w:val="18"/>
                <w:szCs w:val="18"/>
              </w:rPr>
              <w:t xml:space="preserve"> these documents will be available on reasonable notice by application to:</w:t>
            </w:r>
          </w:p>
          <w:p w14:paraId="34A1DEB0" w14:textId="77777777" w:rsidR="00825FE3" w:rsidRPr="00D06620" w:rsidRDefault="00825FE3"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32D637F" w:rsidR="00825FE3" w:rsidRPr="00D06620" w:rsidRDefault="00825FE3" w:rsidP="000500F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Pr="00825FE3">
              <w:rPr>
                <w:rFonts w:eastAsia="Times New Roman" w:cs="Arial"/>
                <w:color w:val="2E74B5" w:themeColor="accent1" w:themeShade="BF"/>
                <w:sz w:val="18"/>
                <w:szCs w:val="18"/>
              </w:rPr>
              <w:t>Shirleyanne Munro, Acting Responsible Finance Officer, Fleetwood Town Council, 122 Poulton Road, Fleetwood, Lancs, FY7 7AR</w:t>
            </w:r>
          </w:p>
          <w:p w14:paraId="38E7898C" w14:textId="77777777" w:rsidR="00825FE3" w:rsidRPr="00D06620" w:rsidRDefault="00825FE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424B6EF6" w:rsidR="00825FE3" w:rsidRPr="00D06620" w:rsidRDefault="00825FE3" w:rsidP="000500F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0500F8">
              <w:rPr>
                <w:rFonts w:eastAsia="Times New Roman" w:cs="Arial"/>
                <w:b/>
                <w:color w:val="2E74B5" w:themeColor="accent1" w:themeShade="BF"/>
                <w:sz w:val="18"/>
                <w:szCs w:val="18"/>
              </w:rPr>
              <w:t>Tuesday 17</w:t>
            </w:r>
            <w:r w:rsidRPr="000500F8">
              <w:rPr>
                <w:rFonts w:eastAsia="Times New Roman" w:cs="Arial"/>
                <w:b/>
                <w:color w:val="2E74B5" w:themeColor="accent1" w:themeShade="BF"/>
                <w:sz w:val="18"/>
                <w:szCs w:val="18"/>
                <w:vertAlign w:val="superscript"/>
              </w:rPr>
              <w:t>th</w:t>
            </w:r>
            <w:r w:rsidRPr="000500F8">
              <w:rPr>
                <w:rFonts w:eastAsia="Times New Roman" w:cs="Arial"/>
                <w:b/>
                <w:color w:val="2E74B5" w:themeColor="accent1" w:themeShade="BF"/>
                <w:sz w:val="18"/>
                <w:szCs w:val="18"/>
              </w:rPr>
              <w:t xml:space="preserve"> September 2024 </w:t>
            </w:r>
            <w:r w:rsidRPr="000500F8">
              <w:rPr>
                <w:rFonts w:eastAsia="Times New Roman" w:cs="Arial"/>
                <w:color w:val="2E74B5" w:themeColor="accent1" w:themeShade="BF"/>
                <w:sz w:val="18"/>
                <w:szCs w:val="18"/>
              </w:rPr>
              <w:t xml:space="preserve"> </w:t>
            </w:r>
          </w:p>
          <w:p w14:paraId="3C10DC30" w14:textId="525FB5DF" w:rsidR="00825FE3" w:rsidRPr="00D06620" w:rsidRDefault="00825FE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Pr="000500F8">
              <w:rPr>
                <w:rFonts w:eastAsia="Times New Roman" w:cs="Arial"/>
                <w:b/>
                <w:bCs/>
                <w:color w:val="2E74B5" w:themeColor="accent1" w:themeShade="BF"/>
                <w:sz w:val="18"/>
                <w:szCs w:val="18"/>
              </w:rPr>
              <w:t>Tuesday 29</w:t>
            </w:r>
            <w:r w:rsidRPr="000500F8">
              <w:rPr>
                <w:rFonts w:eastAsia="Times New Roman" w:cs="Arial"/>
                <w:b/>
                <w:bCs/>
                <w:color w:val="2E74B5" w:themeColor="accent1" w:themeShade="BF"/>
                <w:sz w:val="18"/>
                <w:szCs w:val="18"/>
                <w:vertAlign w:val="superscript"/>
              </w:rPr>
              <w:t>th</w:t>
            </w:r>
            <w:r w:rsidRPr="000500F8">
              <w:rPr>
                <w:rFonts w:eastAsia="Times New Roman" w:cs="Arial"/>
                <w:b/>
                <w:bCs/>
                <w:color w:val="2E74B5" w:themeColor="accent1" w:themeShade="BF"/>
                <w:sz w:val="18"/>
                <w:szCs w:val="18"/>
              </w:rPr>
              <w:t xml:space="preserve"> October 2024</w:t>
            </w:r>
            <w:r w:rsidRPr="000500F8">
              <w:rPr>
                <w:rFonts w:eastAsia="Times New Roman" w:cs="Arial"/>
                <w:b/>
                <w:color w:val="2E74B5" w:themeColor="accent1" w:themeShade="BF"/>
                <w:sz w:val="18"/>
                <w:szCs w:val="18"/>
              </w:rPr>
              <w:t xml:space="preserve"> </w:t>
            </w:r>
          </w:p>
          <w:p w14:paraId="6DDBFF84" w14:textId="77777777" w:rsidR="00825FE3" w:rsidRPr="00D06620" w:rsidRDefault="00825FE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25FE3" w:rsidRPr="00D06620" w:rsidRDefault="00825FE3"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25FE3" w:rsidRPr="00D06620" w:rsidRDefault="00825FE3"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25FE3" w:rsidRPr="00D06620" w:rsidRDefault="00825FE3"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25FE3" w:rsidRPr="00D06620" w:rsidRDefault="00825FE3"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25FE3" w:rsidRPr="00D06620" w:rsidRDefault="00825FE3"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25FE3" w:rsidRPr="00D06620" w:rsidRDefault="00825FE3"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25FE3" w:rsidRPr="00D06620" w:rsidRDefault="00825FE3"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25FE3" w:rsidRPr="00D06620" w:rsidRDefault="00825FE3"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25FE3" w:rsidRPr="00D06620" w:rsidRDefault="00825FE3"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25FE3" w:rsidRPr="00D06620" w:rsidRDefault="00825FE3"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825FE3" w:rsidRPr="00D06620" w:rsidRDefault="00825FE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25FE3" w:rsidRPr="00D06620" w:rsidRDefault="00825FE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25FE3" w:rsidRPr="00AF05D5" w:rsidRDefault="00825FE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25FE3" w:rsidRDefault="00825FE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825FE3" w:rsidRPr="00AF05D5" w:rsidRDefault="00825FE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EFBF0A3" w:rsidR="00825FE3" w:rsidRPr="000500F8" w:rsidRDefault="00825FE3" w:rsidP="00743C17">
            <w:pPr>
              <w:overflowPunct w:val="0"/>
              <w:autoSpaceDE w:val="0"/>
              <w:autoSpaceDN w:val="0"/>
              <w:adjustRightInd w:val="0"/>
              <w:spacing w:after="0" w:line="240" w:lineRule="auto"/>
              <w:contextualSpacing/>
              <w:jc w:val="left"/>
              <w:textAlignment w:val="baseline"/>
              <w:rPr>
                <w:rFonts w:eastAsia="Times New Roman" w:cs="Arial"/>
                <w:color w:val="2E74B5" w:themeColor="accent1" w:themeShade="BF"/>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Pr="000500F8">
              <w:rPr>
                <w:rFonts w:eastAsia="Times New Roman" w:cs="Arial"/>
                <w:b/>
                <w:color w:val="2E74B5" w:themeColor="accent1" w:themeShade="BF"/>
                <w:sz w:val="18"/>
                <w:szCs w:val="18"/>
              </w:rPr>
              <w:t>Shirleyanne Munro, Acting Responsible Finance Officer</w:t>
            </w:r>
          </w:p>
          <w:p w14:paraId="74144341" w14:textId="77777777" w:rsidR="00825FE3" w:rsidRPr="00D06620" w:rsidRDefault="00825FE3"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69B20C9E"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47AA85B8"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5D6A6ED0"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35BD08A"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5090E17"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C531C87"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3267672B"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0558BDD"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43EDAEBE"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500F8"/>
    <w:rsid w:val="00106141"/>
    <w:rsid w:val="0018345F"/>
    <w:rsid w:val="0025572D"/>
    <w:rsid w:val="00270726"/>
    <w:rsid w:val="002F62B2"/>
    <w:rsid w:val="003946F1"/>
    <w:rsid w:val="003D2B77"/>
    <w:rsid w:val="003F371A"/>
    <w:rsid w:val="00414553"/>
    <w:rsid w:val="004E74B5"/>
    <w:rsid w:val="00500F4D"/>
    <w:rsid w:val="0050557D"/>
    <w:rsid w:val="00535430"/>
    <w:rsid w:val="005A520D"/>
    <w:rsid w:val="006074C4"/>
    <w:rsid w:val="006D6735"/>
    <w:rsid w:val="006F2BF0"/>
    <w:rsid w:val="00745FCF"/>
    <w:rsid w:val="007B431A"/>
    <w:rsid w:val="00805A33"/>
    <w:rsid w:val="00806F74"/>
    <w:rsid w:val="00815FCF"/>
    <w:rsid w:val="00825FE3"/>
    <w:rsid w:val="00874EFA"/>
    <w:rsid w:val="00917CA8"/>
    <w:rsid w:val="00921065"/>
    <w:rsid w:val="009F20FF"/>
    <w:rsid w:val="00B53912"/>
    <w:rsid w:val="00BF3571"/>
    <w:rsid w:val="00C0004C"/>
    <w:rsid w:val="00C24E66"/>
    <w:rsid w:val="00C4713C"/>
    <w:rsid w:val="00C551EB"/>
    <w:rsid w:val="00C644E5"/>
    <w:rsid w:val="00D5498D"/>
    <w:rsid w:val="00E70583"/>
    <w:rsid w:val="00EA2CE3"/>
    <w:rsid w:val="00ED40C2"/>
    <w:rsid w:val="00F8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Shirley Anne Munro</cp:lastModifiedBy>
  <cp:revision>3</cp:revision>
  <dcterms:created xsi:type="dcterms:W3CDTF">2024-09-16T08:50:00Z</dcterms:created>
  <dcterms:modified xsi:type="dcterms:W3CDTF">2024-09-16T08:50:00Z</dcterms:modified>
</cp:coreProperties>
</file>